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CC" w:rsidRPr="00D750CC" w:rsidRDefault="00D750CC" w:rsidP="00D750CC">
      <w:pPr>
        <w:spacing w:before="100" w:beforeAutospacing="1" w:after="100" w:afterAutospacing="1" w:line="240" w:lineRule="auto"/>
        <w:jc w:val="both"/>
        <w:rPr>
          <w:rFonts w:eastAsia="Times New Roman"/>
          <w:lang w:eastAsia="sk-SK"/>
        </w:rPr>
      </w:pPr>
      <w:r w:rsidRPr="00D750CC">
        <w:rPr>
          <w:rFonts w:eastAsia="Times New Roman"/>
          <w:b/>
          <w:bCs/>
          <w:lang w:eastAsia="sk-SK"/>
        </w:rPr>
        <w:t>Daň z nehnuteľností zahŕňa:</w:t>
      </w:r>
    </w:p>
    <w:p w:rsidR="00D750CC" w:rsidRPr="00D750CC" w:rsidRDefault="00D750CC" w:rsidP="00D750CC">
      <w:pPr>
        <w:numPr>
          <w:ilvl w:val="0"/>
          <w:numId w:val="5"/>
        </w:numPr>
        <w:spacing w:before="100" w:beforeAutospacing="1" w:after="100" w:afterAutospacing="1" w:line="240" w:lineRule="auto"/>
        <w:jc w:val="both"/>
        <w:rPr>
          <w:rFonts w:eastAsia="Times New Roman"/>
          <w:lang w:eastAsia="sk-SK"/>
        </w:rPr>
      </w:pPr>
      <w:r w:rsidRPr="00D750CC">
        <w:rPr>
          <w:rFonts w:eastAsia="Times New Roman"/>
          <w:lang w:eastAsia="sk-SK"/>
        </w:rPr>
        <w:t>daň z pozemkov</w:t>
      </w:r>
    </w:p>
    <w:p w:rsidR="00D750CC" w:rsidRPr="00D750CC" w:rsidRDefault="00D750CC" w:rsidP="00D750CC">
      <w:pPr>
        <w:numPr>
          <w:ilvl w:val="0"/>
          <w:numId w:val="5"/>
        </w:numPr>
        <w:spacing w:before="100" w:beforeAutospacing="1" w:after="100" w:afterAutospacing="1" w:line="240" w:lineRule="auto"/>
        <w:jc w:val="both"/>
        <w:rPr>
          <w:rFonts w:eastAsia="Times New Roman"/>
          <w:lang w:eastAsia="sk-SK"/>
        </w:rPr>
      </w:pPr>
      <w:r w:rsidRPr="00D750CC">
        <w:rPr>
          <w:rFonts w:eastAsia="Times New Roman"/>
          <w:lang w:eastAsia="sk-SK"/>
        </w:rPr>
        <w:t>daň zo stavieb</w:t>
      </w:r>
    </w:p>
    <w:p w:rsidR="00D750CC" w:rsidRPr="00D750CC" w:rsidRDefault="00D750CC" w:rsidP="00D750CC">
      <w:pPr>
        <w:numPr>
          <w:ilvl w:val="0"/>
          <w:numId w:val="5"/>
        </w:numPr>
        <w:spacing w:before="100" w:beforeAutospacing="1" w:after="100" w:afterAutospacing="1" w:line="240" w:lineRule="auto"/>
        <w:jc w:val="both"/>
        <w:rPr>
          <w:rFonts w:eastAsia="Times New Roman"/>
          <w:lang w:eastAsia="sk-SK"/>
        </w:rPr>
      </w:pPr>
      <w:r w:rsidRPr="00D750CC">
        <w:rPr>
          <w:rFonts w:eastAsia="Times New Roman"/>
          <w:lang w:eastAsia="sk-SK"/>
        </w:rPr>
        <w:t>daň z bytov a nebytových priestorov v bytovom dome</w:t>
      </w:r>
    </w:p>
    <w:p w:rsidR="00D750CC" w:rsidRPr="00D750CC" w:rsidRDefault="00D750CC" w:rsidP="00D750CC">
      <w:pPr>
        <w:spacing w:before="100" w:beforeAutospacing="1" w:after="100" w:afterAutospacing="1" w:line="240" w:lineRule="auto"/>
        <w:jc w:val="both"/>
        <w:rPr>
          <w:rFonts w:eastAsia="Times New Roman"/>
          <w:lang w:eastAsia="sk-SK"/>
        </w:rPr>
      </w:pPr>
      <w:r w:rsidRPr="00D750CC">
        <w:rPr>
          <w:rFonts w:eastAsia="Times New Roman"/>
          <w:lang w:eastAsia="sk-SK"/>
        </w:rPr>
        <w:t>Pre vyrubenie dane z nehnuteľností je rozhodujúci stav v katastri nehnuteľností k 1. januáru zdaňovacieho obdobia (príslušného kalendárneho roka), pričom daňový subjekt musí podať daňové priznanie na predpísaných tlačivách do 31. januára bežného zdaňovacieho obdobia. Na zmeny skutočností rozhodujúcich pre daňovú povinnosť, ktoré nastanú v priebehu zdaňovacieho obdobia sa neprihliada.</w:t>
      </w:r>
    </w:p>
    <w:p w:rsidR="00D750CC" w:rsidRPr="00D750CC" w:rsidRDefault="00D750CC" w:rsidP="00D750CC">
      <w:pPr>
        <w:spacing w:before="100" w:beforeAutospacing="1" w:after="100" w:afterAutospacing="1" w:line="240" w:lineRule="auto"/>
        <w:jc w:val="both"/>
        <w:rPr>
          <w:rFonts w:eastAsia="Times New Roman"/>
          <w:lang w:eastAsia="sk-SK"/>
        </w:rPr>
      </w:pPr>
      <w:r w:rsidRPr="00D750CC">
        <w:rPr>
          <w:rFonts w:eastAsia="Times New Roman"/>
          <w:lang w:eastAsia="sk-SK"/>
        </w:rPr>
        <w:t>Daňovník je aj v priebehu zdaňovacieho obdobia povinný oznámiť správcovi dane všetky skutočnosti rozhodujúce pre vznik (zánik) daňovej povinnosti, ako aj každú zmenu týchto skutočností do 30 dní odo dňa, keď tieto skutočnosti nastali (predaj, prevod, dedičstvo, darovanie, stavebné úpravy a pod.).</w:t>
      </w:r>
    </w:p>
    <w:p w:rsidR="00D750CC" w:rsidRPr="00D750CC" w:rsidRDefault="00D750CC" w:rsidP="00D750CC">
      <w:pPr>
        <w:spacing w:before="100" w:beforeAutospacing="1" w:after="100" w:afterAutospacing="1" w:line="240" w:lineRule="auto"/>
        <w:jc w:val="both"/>
        <w:rPr>
          <w:rFonts w:eastAsia="Times New Roman"/>
          <w:lang w:eastAsia="sk-SK"/>
        </w:rPr>
      </w:pPr>
      <w:r w:rsidRPr="00D750CC">
        <w:rPr>
          <w:rFonts w:eastAsia="Times New Roman"/>
          <w:lang w:eastAsia="sk-SK"/>
        </w:rPr>
        <w:t>Ak je pozemok, stavba alebo byt a nebytové priestory v spoluvlastníctve viacerých daňovníkov, daňovníkom daní je každý spoluvlastník podľa výšky svojho spoluvlastníckeho podielu. Spoluvlastníci sa môžu dohodnúť na zastúpení.</w:t>
      </w:r>
    </w:p>
    <w:p w:rsidR="00D750CC" w:rsidRPr="00D750CC" w:rsidRDefault="00D750CC" w:rsidP="00D750CC">
      <w:pPr>
        <w:spacing w:before="100" w:beforeAutospacing="1" w:after="100" w:afterAutospacing="1" w:line="240" w:lineRule="auto"/>
        <w:jc w:val="both"/>
        <w:rPr>
          <w:rFonts w:eastAsia="Times New Roman"/>
          <w:lang w:eastAsia="sk-SK"/>
        </w:rPr>
      </w:pPr>
      <w:r w:rsidRPr="00D750CC">
        <w:rPr>
          <w:rFonts w:eastAsia="Times New Roman"/>
          <w:b/>
          <w:bCs/>
          <w:lang w:eastAsia="sk-SK"/>
        </w:rPr>
        <w:t>Potrebujete</w:t>
      </w:r>
    </w:p>
    <w:p w:rsidR="00D750CC" w:rsidRPr="00D750CC" w:rsidRDefault="00D750CC" w:rsidP="00D750CC">
      <w:pPr>
        <w:numPr>
          <w:ilvl w:val="0"/>
          <w:numId w:val="6"/>
        </w:numPr>
        <w:spacing w:before="100" w:beforeAutospacing="1" w:after="100" w:afterAutospacing="1" w:line="240" w:lineRule="auto"/>
        <w:jc w:val="both"/>
        <w:rPr>
          <w:rFonts w:eastAsia="Times New Roman"/>
          <w:lang w:eastAsia="sk-SK"/>
        </w:rPr>
      </w:pPr>
      <w:r w:rsidRPr="00D750CC">
        <w:rPr>
          <w:rFonts w:eastAsia="Times New Roman"/>
          <w:lang w:eastAsia="sk-SK"/>
        </w:rPr>
        <w:t>Daňové priznanie k dani z nehnuteľností FO, PO</w:t>
      </w:r>
    </w:p>
    <w:p w:rsidR="00D750CC" w:rsidRPr="00D750CC" w:rsidRDefault="00D750CC" w:rsidP="00D750CC">
      <w:pPr>
        <w:numPr>
          <w:ilvl w:val="0"/>
          <w:numId w:val="6"/>
        </w:numPr>
        <w:spacing w:before="100" w:beforeAutospacing="1" w:after="100" w:afterAutospacing="1" w:line="240" w:lineRule="auto"/>
        <w:jc w:val="both"/>
        <w:rPr>
          <w:rFonts w:eastAsia="Times New Roman"/>
          <w:lang w:eastAsia="sk-SK"/>
        </w:rPr>
      </w:pPr>
      <w:r w:rsidRPr="00D750CC">
        <w:rPr>
          <w:rFonts w:eastAsia="Times New Roman"/>
          <w:lang w:eastAsia="sk-SK"/>
        </w:rPr>
        <w:t>Daň z pozemkov - doklad preukazujúci nadobudnutie vlastníctva pozemku (kúpno-predajná zmluva, list vlastníctva a pod.)</w:t>
      </w:r>
    </w:p>
    <w:p w:rsidR="00D750CC" w:rsidRPr="00D750CC" w:rsidRDefault="00D750CC" w:rsidP="00D750CC">
      <w:pPr>
        <w:numPr>
          <w:ilvl w:val="0"/>
          <w:numId w:val="6"/>
        </w:numPr>
        <w:spacing w:before="100" w:beforeAutospacing="1" w:after="100" w:afterAutospacing="1" w:line="240" w:lineRule="auto"/>
        <w:jc w:val="both"/>
        <w:rPr>
          <w:rFonts w:eastAsia="Times New Roman"/>
          <w:lang w:eastAsia="sk-SK"/>
        </w:rPr>
      </w:pPr>
      <w:r w:rsidRPr="00D750CC">
        <w:rPr>
          <w:rFonts w:eastAsia="Times New Roman"/>
          <w:lang w:eastAsia="sk-SK"/>
        </w:rPr>
        <w:t>Daň zo stavieb - doklad preukazujúci nadobudnutie stavby (list vlastníctva, pri novostavbe kolaudačné rozhodnutie, rozhodnutie o vklade kúpnopredajnej zmluvy do katastra). Zdaňujú sa aj stavby, ktoré nie sú zapísané v katastri nehnuteľností.</w:t>
      </w:r>
    </w:p>
    <w:p w:rsidR="00D750CC" w:rsidRPr="00D750CC" w:rsidRDefault="00D750CC" w:rsidP="00D750CC">
      <w:pPr>
        <w:numPr>
          <w:ilvl w:val="0"/>
          <w:numId w:val="6"/>
        </w:numPr>
        <w:spacing w:before="100" w:beforeAutospacing="1" w:after="100" w:afterAutospacing="1" w:line="240" w:lineRule="auto"/>
        <w:jc w:val="both"/>
        <w:rPr>
          <w:rFonts w:eastAsia="Times New Roman"/>
          <w:lang w:eastAsia="sk-SK"/>
        </w:rPr>
      </w:pPr>
      <w:r w:rsidRPr="00D750CC">
        <w:rPr>
          <w:rFonts w:eastAsia="Times New Roman"/>
          <w:lang w:eastAsia="sk-SK"/>
        </w:rPr>
        <w:t>Daň z bytov - doklad preukazujúci vlastníctvo bytu (kúpnopredajná zmluva, darovacia zmluva, list vlastníctva)</w:t>
      </w:r>
    </w:p>
    <w:p w:rsidR="00D750CC" w:rsidRPr="00D750CC" w:rsidRDefault="00D750CC" w:rsidP="00D750CC">
      <w:pPr>
        <w:numPr>
          <w:ilvl w:val="0"/>
          <w:numId w:val="6"/>
        </w:numPr>
        <w:spacing w:before="100" w:beforeAutospacing="1" w:after="100" w:afterAutospacing="1" w:line="240" w:lineRule="auto"/>
        <w:jc w:val="both"/>
        <w:rPr>
          <w:rFonts w:eastAsia="Times New Roman"/>
          <w:lang w:eastAsia="sk-SK"/>
        </w:rPr>
      </w:pPr>
      <w:proofErr w:type="spellStart"/>
      <w:r w:rsidRPr="00D750CC">
        <w:rPr>
          <w:rFonts w:eastAsia="Times New Roman"/>
          <w:lang w:eastAsia="sk-SK"/>
        </w:rPr>
        <w:t>Oznamenie</w:t>
      </w:r>
      <w:proofErr w:type="spellEnd"/>
      <w:r w:rsidRPr="00D750CC">
        <w:rPr>
          <w:rFonts w:eastAsia="Times New Roman"/>
          <w:lang w:eastAsia="sk-SK"/>
        </w:rPr>
        <w:t xml:space="preserve"> o určení spoluvlastníka</w:t>
      </w:r>
    </w:p>
    <w:p w:rsidR="00D750CC" w:rsidRPr="00D750CC" w:rsidRDefault="00D750CC" w:rsidP="00D750CC">
      <w:pPr>
        <w:spacing w:before="100" w:beforeAutospacing="1" w:after="100" w:afterAutospacing="1" w:line="240" w:lineRule="auto"/>
        <w:jc w:val="both"/>
        <w:rPr>
          <w:rFonts w:eastAsia="Times New Roman"/>
          <w:lang w:eastAsia="sk-SK"/>
        </w:rPr>
      </w:pPr>
      <w:r w:rsidRPr="00D750CC">
        <w:rPr>
          <w:rFonts w:eastAsia="Times New Roman"/>
          <w:b/>
          <w:bCs/>
          <w:lang w:eastAsia="sk-SK"/>
        </w:rPr>
        <w:t>Lehota na vybavenie</w:t>
      </w:r>
    </w:p>
    <w:p w:rsidR="00D750CC" w:rsidRPr="00D750CC" w:rsidRDefault="00D750CC" w:rsidP="00D750CC">
      <w:pPr>
        <w:numPr>
          <w:ilvl w:val="0"/>
          <w:numId w:val="7"/>
        </w:numPr>
        <w:spacing w:before="100" w:beforeAutospacing="1" w:after="100" w:afterAutospacing="1" w:line="240" w:lineRule="auto"/>
        <w:jc w:val="both"/>
        <w:rPr>
          <w:rFonts w:eastAsia="Times New Roman"/>
          <w:lang w:eastAsia="sk-SK"/>
        </w:rPr>
      </w:pPr>
      <w:r w:rsidRPr="00D750CC">
        <w:rPr>
          <w:rFonts w:eastAsia="Times New Roman"/>
          <w:lang w:eastAsia="sk-SK"/>
        </w:rPr>
        <w:t xml:space="preserve">do 30 dní, v zložitých prípadoch v lehotách stanovených zákonom  č. 563/2009 </w:t>
      </w:r>
      <w:proofErr w:type="spellStart"/>
      <w:r w:rsidRPr="00D750CC">
        <w:rPr>
          <w:rFonts w:eastAsia="Times New Roman"/>
          <w:lang w:eastAsia="sk-SK"/>
        </w:rPr>
        <w:t>Z.z</w:t>
      </w:r>
      <w:proofErr w:type="spellEnd"/>
      <w:r w:rsidRPr="00D750CC">
        <w:rPr>
          <w:rFonts w:eastAsia="Times New Roman"/>
          <w:lang w:eastAsia="sk-SK"/>
        </w:rPr>
        <w:t>..  v znení neskorších predpisov.</w:t>
      </w:r>
    </w:p>
    <w:p w:rsidR="00D750CC" w:rsidRPr="00D750CC" w:rsidRDefault="00D750CC" w:rsidP="00D750CC">
      <w:pPr>
        <w:spacing w:before="100" w:beforeAutospacing="1" w:after="100" w:afterAutospacing="1" w:line="240" w:lineRule="auto"/>
        <w:jc w:val="both"/>
        <w:rPr>
          <w:rFonts w:eastAsia="Times New Roman"/>
          <w:lang w:eastAsia="sk-SK"/>
        </w:rPr>
      </w:pPr>
      <w:r w:rsidRPr="00D750CC">
        <w:rPr>
          <w:rFonts w:eastAsia="Times New Roman"/>
          <w:b/>
          <w:bCs/>
          <w:lang w:eastAsia="sk-SK"/>
        </w:rPr>
        <w:t>Vyrubenie dane</w:t>
      </w:r>
    </w:p>
    <w:p w:rsidR="00D750CC" w:rsidRPr="00D750CC" w:rsidRDefault="00D750CC" w:rsidP="00D750CC">
      <w:pPr>
        <w:spacing w:before="100" w:beforeAutospacing="1" w:after="100" w:afterAutospacing="1" w:line="240" w:lineRule="auto"/>
        <w:jc w:val="both"/>
        <w:rPr>
          <w:rFonts w:eastAsia="Times New Roman"/>
          <w:lang w:eastAsia="sk-SK"/>
        </w:rPr>
      </w:pPr>
      <w:r w:rsidRPr="00D750CC">
        <w:rPr>
          <w:rFonts w:eastAsia="Times New Roman"/>
          <w:lang w:eastAsia="sk-SK"/>
        </w:rPr>
        <w:t>Vyrubená daň z nehnuteľností je splatná do 15 dní odo dňa nadobudnutia právoplatnosti rozhodnutia. Správca dane určuje, že daň je možné uhradiť aj v troch rovnakých splátkach:</w:t>
      </w:r>
    </w:p>
    <w:p w:rsidR="00D750CC" w:rsidRPr="00D750CC" w:rsidRDefault="00D750CC" w:rsidP="00D750CC">
      <w:pPr>
        <w:spacing w:before="100" w:beforeAutospacing="1" w:after="100" w:afterAutospacing="1" w:line="240" w:lineRule="auto"/>
        <w:jc w:val="both"/>
        <w:rPr>
          <w:rFonts w:eastAsia="Times New Roman"/>
          <w:lang w:eastAsia="sk-SK"/>
        </w:rPr>
      </w:pPr>
      <w:r w:rsidRPr="00D750CC">
        <w:rPr>
          <w:rFonts w:eastAsia="Times New Roman"/>
          <w:b/>
          <w:bCs/>
          <w:lang w:eastAsia="sk-SK"/>
        </w:rPr>
        <w:t>Spôsoby platenia</w:t>
      </w:r>
    </w:p>
    <w:p w:rsidR="00D750CC" w:rsidRPr="00D750CC" w:rsidRDefault="00D750CC" w:rsidP="00D750CC">
      <w:pPr>
        <w:numPr>
          <w:ilvl w:val="0"/>
          <w:numId w:val="8"/>
        </w:numPr>
        <w:spacing w:before="100" w:beforeAutospacing="1" w:after="100" w:afterAutospacing="1" w:line="240" w:lineRule="auto"/>
        <w:jc w:val="both"/>
        <w:rPr>
          <w:rFonts w:eastAsia="Times New Roman"/>
          <w:lang w:eastAsia="sk-SK"/>
        </w:rPr>
      </w:pPr>
      <w:r w:rsidRPr="00D750CC">
        <w:rPr>
          <w:rFonts w:eastAsia="Times New Roman"/>
          <w:lang w:eastAsia="sk-SK"/>
        </w:rPr>
        <w:t>bezhotovostným prevodom na účet obce</w:t>
      </w:r>
    </w:p>
    <w:p w:rsidR="00D750CC" w:rsidRPr="00D750CC" w:rsidRDefault="00D750CC" w:rsidP="00D750CC">
      <w:pPr>
        <w:numPr>
          <w:ilvl w:val="0"/>
          <w:numId w:val="8"/>
        </w:numPr>
        <w:spacing w:before="100" w:beforeAutospacing="1" w:after="100" w:afterAutospacing="1" w:line="240" w:lineRule="auto"/>
        <w:jc w:val="both"/>
        <w:rPr>
          <w:rFonts w:eastAsia="Times New Roman"/>
          <w:lang w:eastAsia="sk-SK"/>
        </w:rPr>
      </w:pPr>
      <w:r w:rsidRPr="00D750CC">
        <w:rPr>
          <w:rFonts w:eastAsia="Times New Roman"/>
          <w:lang w:eastAsia="sk-SK"/>
        </w:rPr>
        <w:t>poštovou poukážkou na účet obce</w:t>
      </w:r>
    </w:p>
    <w:p w:rsidR="00D750CC" w:rsidRPr="00D750CC" w:rsidRDefault="00D750CC" w:rsidP="00D750CC">
      <w:pPr>
        <w:numPr>
          <w:ilvl w:val="0"/>
          <w:numId w:val="8"/>
        </w:numPr>
        <w:spacing w:before="100" w:beforeAutospacing="1" w:after="100" w:afterAutospacing="1" w:line="240" w:lineRule="auto"/>
        <w:jc w:val="both"/>
        <w:rPr>
          <w:rFonts w:eastAsia="Times New Roman"/>
          <w:lang w:eastAsia="sk-SK"/>
        </w:rPr>
      </w:pPr>
      <w:r w:rsidRPr="00D750CC">
        <w:rPr>
          <w:rFonts w:eastAsia="Times New Roman"/>
          <w:lang w:eastAsia="sk-SK"/>
        </w:rPr>
        <w:t>v hotovosti do pokladne obce</w:t>
      </w:r>
    </w:p>
    <w:p w:rsidR="00753994" w:rsidRPr="00D750CC" w:rsidRDefault="00EB674E" w:rsidP="00D750CC"/>
    <w:sectPr w:rsidR="00753994" w:rsidRPr="00D750CC" w:rsidSect="00534A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6EDE"/>
    <w:multiLevelType w:val="multilevel"/>
    <w:tmpl w:val="FAF4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7040F"/>
    <w:multiLevelType w:val="multilevel"/>
    <w:tmpl w:val="A70ACE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A8D2BA1"/>
    <w:multiLevelType w:val="multilevel"/>
    <w:tmpl w:val="0EAE77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8616B8D"/>
    <w:multiLevelType w:val="multilevel"/>
    <w:tmpl w:val="787A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813BC3"/>
    <w:multiLevelType w:val="multilevel"/>
    <w:tmpl w:val="C7F6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840AD1"/>
    <w:multiLevelType w:val="multilevel"/>
    <w:tmpl w:val="61F6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2A447B"/>
    <w:multiLevelType w:val="multilevel"/>
    <w:tmpl w:val="A5D2EB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FD14DA9"/>
    <w:multiLevelType w:val="multilevel"/>
    <w:tmpl w:val="18C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22A4F"/>
    <w:rsid w:val="00021732"/>
    <w:rsid w:val="00022A4F"/>
    <w:rsid w:val="00534A72"/>
    <w:rsid w:val="007B284D"/>
    <w:rsid w:val="008824E5"/>
    <w:rsid w:val="00885C38"/>
    <w:rsid w:val="00C353D6"/>
    <w:rsid w:val="00D750CC"/>
    <w:rsid w:val="00EB674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22A4F"/>
  </w:style>
  <w:style w:type="paragraph" w:styleId="Nadpis5">
    <w:name w:val="heading 5"/>
    <w:basedOn w:val="Normlny"/>
    <w:link w:val="Nadpis5Char"/>
    <w:uiPriority w:val="9"/>
    <w:qFormat/>
    <w:rsid w:val="00D750CC"/>
    <w:pPr>
      <w:spacing w:before="100" w:beforeAutospacing="1" w:after="100" w:afterAutospacing="1" w:line="240" w:lineRule="auto"/>
      <w:outlineLvl w:val="4"/>
    </w:pPr>
    <w:rPr>
      <w:rFonts w:eastAsia="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D750CC"/>
    <w:rPr>
      <w:rFonts w:eastAsia="Times New Roman"/>
      <w:b/>
      <w:bCs/>
      <w:sz w:val="20"/>
      <w:szCs w:val="20"/>
      <w:lang w:eastAsia="sk-SK"/>
    </w:rPr>
  </w:style>
  <w:style w:type="character" w:styleId="Hypertextovprepojenie">
    <w:name w:val="Hyperlink"/>
    <w:basedOn w:val="Predvolenpsmoodseku"/>
    <w:uiPriority w:val="99"/>
    <w:semiHidden/>
    <w:unhideWhenUsed/>
    <w:rsid w:val="00D750CC"/>
    <w:rPr>
      <w:color w:val="0000FF"/>
      <w:u w:val="single"/>
    </w:rPr>
  </w:style>
  <w:style w:type="paragraph" w:styleId="Normlnywebov">
    <w:name w:val="Normal (Web)"/>
    <w:basedOn w:val="Normlny"/>
    <w:uiPriority w:val="99"/>
    <w:semiHidden/>
    <w:unhideWhenUsed/>
    <w:rsid w:val="00D750CC"/>
    <w:pPr>
      <w:spacing w:before="100" w:beforeAutospacing="1" w:after="100" w:afterAutospacing="1" w:line="240" w:lineRule="auto"/>
    </w:pPr>
    <w:rPr>
      <w:rFonts w:eastAsia="Times New Roman"/>
      <w:lang w:eastAsia="sk-SK"/>
    </w:rPr>
  </w:style>
  <w:style w:type="character" w:styleId="Siln">
    <w:name w:val="Strong"/>
    <w:basedOn w:val="Predvolenpsmoodseku"/>
    <w:uiPriority w:val="22"/>
    <w:qFormat/>
    <w:rsid w:val="00D750CC"/>
    <w:rPr>
      <w:b/>
      <w:bCs/>
    </w:rPr>
  </w:style>
</w:styles>
</file>

<file path=word/webSettings.xml><?xml version="1.0" encoding="utf-8"?>
<w:webSettings xmlns:r="http://schemas.openxmlformats.org/officeDocument/2006/relationships" xmlns:w="http://schemas.openxmlformats.org/wordprocessingml/2006/main">
  <w:divs>
    <w:div w:id="342829631">
      <w:bodyDiv w:val="1"/>
      <w:marLeft w:val="0"/>
      <w:marRight w:val="0"/>
      <w:marTop w:val="0"/>
      <w:marBottom w:val="0"/>
      <w:divBdr>
        <w:top w:val="none" w:sz="0" w:space="0" w:color="auto"/>
        <w:left w:val="none" w:sz="0" w:space="0" w:color="auto"/>
        <w:bottom w:val="none" w:sz="0" w:space="0" w:color="auto"/>
        <w:right w:val="none" w:sz="0" w:space="0" w:color="auto"/>
      </w:divBdr>
    </w:div>
    <w:div w:id="1346249762">
      <w:bodyDiv w:val="1"/>
      <w:marLeft w:val="0"/>
      <w:marRight w:val="0"/>
      <w:marTop w:val="0"/>
      <w:marBottom w:val="0"/>
      <w:divBdr>
        <w:top w:val="none" w:sz="0" w:space="0" w:color="auto"/>
        <w:left w:val="none" w:sz="0" w:space="0" w:color="auto"/>
        <w:bottom w:val="none" w:sz="0" w:space="0" w:color="auto"/>
        <w:right w:val="none" w:sz="0" w:space="0" w:color="auto"/>
      </w:divBdr>
    </w:div>
    <w:div w:id="17949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1722</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OCU</dc:creator>
  <cp:keywords/>
  <dc:description/>
  <cp:lastModifiedBy>OCU</cp:lastModifiedBy>
  <cp:revision>2</cp:revision>
  <dcterms:created xsi:type="dcterms:W3CDTF">2016-08-25T07:41:00Z</dcterms:created>
  <dcterms:modified xsi:type="dcterms:W3CDTF">2016-08-25T07:41:00Z</dcterms:modified>
</cp:coreProperties>
</file>